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447C" w14:textId="77777777" w:rsidR="00087F88" w:rsidRPr="00405B8C" w:rsidRDefault="00000000" w:rsidP="00405B8C">
      <w:pPr>
        <w:spacing w:after="120"/>
        <w:jc w:val="center"/>
        <w:rPr>
          <w:rFonts w:ascii="Candara" w:hAnsi="Candara"/>
        </w:rPr>
      </w:pPr>
      <w:r w:rsidRPr="00405B8C">
        <w:rPr>
          <w:rFonts w:ascii="Candara" w:hAnsi="Candara"/>
          <w:b/>
          <w:bCs/>
          <w:color w:val="555555"/>
        </w:rPr>
        <w:t>Mlinar pekarska industrija d.o.o.</w:t>
      </w:r>
    </w:p>
    <w:p w14:paraId="094213AE" w14:textId="77777777" w:rsidR="00087F88" w:rsidRPr="00405B8C" w:rsidRDefault="00000000" w:rsidP="00405B8C">
      <w:pPr>
        <w:spacing w:after="120"/>
        <w:jc w:val="center"/>
        <w:rPr>
          <w:rFonts w:ascii="Candara" w:hAnsi="Candara"/>
        </w:rPr>
      </w:pPr>
      <w:r w:rsidRPr="00405B8C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46F9AA64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p w14:paraId="730A904C" w14:textId="481EA11F" w:rsidR="00087F88" w:rsidRPr="00405B8C" w:rsidRDefault="00405B8C" w:rsidP="00405B8C">
      <w:pPr>
        <w:pStyle w:val="Heading1"/>
        <w:spacing w:before="0" w:after="120"/>
        <w:jc w:val="center"/>
        <w:rPr>
          <w:rFonts w:ascii="Candara" w:hAnsi="Candara"/>
        </w:rPr>
      </w:pPr>
      <w:r w:rsidRPr="00405B8C">
        <w:rPr>
          <w:rFonts w:ascii="Candara" w:hAnsi="Candara"/>
        </w:rPr>
        <w:t>REGISTAR KIBERNETIČKIH SIGURNOSNIH INCIDENATA</w:t>
      </w:r>
    </w:p>
    <w:p w14:paraId="774EA8DE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555555"/>
          <w:sz w:val="20"/>
          <w:szCs w:val="20"/>
        </w:rPr>
        <w:t>Dokument: RE-INCIDENTI-v1.0  |  Verzija: 1.0  |  Datum: 15. 03. 2026.  |  Vlasnik: Vanjski CISO</w:t>
      </w:r>
    </w:p>
    <w:p w14:paraId="1FB15731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555555"/>
          <w:sz w:val="20"/>
          <w:szCs w:val="20"/>
        </w:rPr>
        <w:t>Temelj: ZKS čl. 33–36., ZKS mjera 11.2., ISO 27001 A.5.25–5.27</w:t>
      </w:r>
    </w:p>
    <w:p w14:paraId="310E06FC" w14:textId="77777777" w:rsidR="00405B8C" w:rsidRDefault="00405B8C" w:rsidP="00405B8C">
      <w:pPr>
        <w:pStyle w:val="Heading2"/>
        <w:spacing w:before="0" w:after="120"/>
        <w:jc w:val="both"/>
        <w:rPr>
          <w:rFonts w:ascii="Candara" w:hAnsi="Candara"/>
        </w:rPr>
      </w:pPr>
    </w:p>
    <w:p w14:paraId="2864CAD2" w14:textId="4AD38E7C" w:rsidR="00087F88" w:rsidRPr="00405B8C" w:rsidRDefault="00000000" w:rsidP="00405B8C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405B8C">
        <w:rPr>
          <w:rFonts w:ascii="Candara" w:hAnsi="Candara"/>
          <w:smallCaps/>
        </w:rPr>
        <w:t>1. Svrha i opseg</w:t>
      </w:r>
    </w:p>
    <w:p w14:paraId="3DC5B1BB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Ovaj Registar koristi se za evidenciju svih kibernetičkih sigurnosnih incidenata u Mlinar pekarska industrija d.o.o. Vođenje Registra obvezno je prema ZKS-u i ISO 27001 standardu. Registar se čuva minimalno 5 godina.</w:t>
      </w:r>
    </w:p>
    <w:p w14:paraId="64402BCC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p w14:paraId="0CDD1B49" w14:textId="77777777" w:rsidR="00087F88" w:rsidRPr="00405B8C" w:rsidRDefault="00000000" w:rsidP="00405B8C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405B8C">
        <w:rPr>
          <w:rFonts w:ascii="Candara" w:hAnsi="Candara"/>
          <w:smallCaps/>
        </w:rPr>
        <w:t>2. Taksonomija incidenata (NC-CERT nacionalna klasifikacija)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6384"/>
      </w:tblGrid>
      <w:tr w:rsidR="00087F88" w:rsidRPr="00405B8C" w14:paraId="0051968E" w14:textId="77777777" w:rsidTr="00405B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6C81C2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BAB8D4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Primjeri</w:t>
            </w:r>
          </w:p>
        </w:tc>
      </w:tr>
      <w:tr w:rsidR="00087F88" w:rsidRPr="00405B8C" w14:paraId="2A393A09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096A86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Zlonamjerni softver (Malware)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488593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Ransomware, virus, trojanac, spyware, cryptominer</w:t>
            </w:r>
          </w:p>
        </w:tc>
      </w:tr>
      <w:tr w:rsidR="00087F88" w:rsidRPr="00405B8C" w14:paraId="00A63BFA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438BE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Phishing / Socijalni inženjering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B1CA2F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Lažni e-mail, spear phishing, vishing, pretexting</w:t>
            </w:r>
          </w:p>
        </w:tc>
      </w:tr>
      <w:tr w:rsidR="00087F88" w:rsidRPr="00405B8C" w14:paraId="4A2BBC11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57A391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Neovlašteni pristup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2A9891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Proboj lozinke, krađa pristupnih podataka, zlouporaba privilegija</w:t>
            </w:r>
          </w:p>
        </w:tc>
      </w:tr>
      <w:tr w:rsidR="00087F88" w:rsidRPr="00405B8C" w14:paraId="2DAE059C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DAC204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Napad uskraćivanjem usluge (DoS/DDoS)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51C98E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Preopterećenje mrežnih resursa, sustava ili usluga</w:t>
            </w:r>
          </w:p>
        </w:tc>
      </w:tr>
      <w:tr w:rsidR="00087F88" w:rsidRPr="00405B8C" w14:paraId="6BDEEAEA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9EDEB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Povreda podataka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C90558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Neovlašteni pristup osobnim ili poslovnim podacima, curenje podataka</w:t>
            </w:r>
          </w:p>
        </w:tc>
      </w:tr>
      <w:tr w:rsidR="00087F88" w:rsidRPr="00405B8C" w14:paraId="5E30751B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E70D10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Ranjivost sustava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ED1AF7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Eksploatacija CVE ranjivosti, neaplikacija zakrpa</w:t>
            </w:r>
          </w:p>
        </w:tc>
      </w:tr>
      <w:tr w:rsidR="00087F88" w:rsidRPr="00405B8C" w14:paraId="4CF7CF0A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0984EC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Fizički sigurnosni incident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3D0BBA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Krađa opreme, neovlašteni fizički pristup, gubitak medija</w:t>
            </w:r>
          </w:p>
        </w:tc>
      </w:tr>
      <w:tr w:rsidR="00087F88" w:rsidRPr="00405B8C" w14:paraId="1BEDE4C8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CE7ED5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Insider threat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E4A72A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Namjerna ili nenamjerna povreda od strane zaposlenika</w:t>
            </w:r>
          </w:p>
        </w:tc>
      </w:tr>
      <w:tr w:rsidR="00087F88" w:rsidRPr="00405B8C" w14:paraId="6B474C0D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6E7D10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Dostupnost sustava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C08F53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Nedostupnost kritičnih sustava bez utvrđenog uzroka</w:t>
            </w:r>
          </w:p>
        </w:tc>
      </w:tr>
      <w:tr w:rsidR="00087F88" w:rsidRPr="00405B8C" w14:paraId="5A7FB530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3D73F4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Ostalo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961A67" w14:textId="77777777" w:rsidR="00087F88" w:rsidRPr="00405B8C" w:rsidRDefault="00000000" w:rsidP="00405B8C">
            <w:pPr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Incidenti koji ne spadaju u gore navedene kategorije</w:t>
            </w:r>
          </w:p>
        </w:tc>
      </w:tr>
    </w:tbl>
    <w:p w14:paraId="7056CF1F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p w14:paraId="4D54CC8D" w14:textId="77777777" w:rsidR="00087F88" w:rsidRPr="00405B8C" w:rsidRDefault="00000000" w:rsidP="00405B8C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405B8C">
        <w:rPr>
          <w:rFonts w:ascii="Candara" w:hAnsi="Candara"/>
          <w:smallCaps/>
        </w:rPr>
        <w:t>3. Klasifikacija težine incidenta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200"/>
        <w:gridCol w:w="2800"/>
        <w:gridCol w:w="2860"/>
      </w:tblGrid>
      <w:tr w:rsidR="00087F88" w:rsidRPr="00405B8C" w14:paraId="243E31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381377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Razina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4F98B2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Opis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A19DB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Primjeri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2B252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Akcija</w:t>
            </w:r>
          </w:p>
        </w:tc>
      </w:tr>
      <w:tr w:rsidR="00087F88" w:rsidRPr="00405B8C" w14:paraId="5E65FC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EC835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P1 – Kritičan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76416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Značajan utjecaj na poslovne procese ili sigurnost podataka; potencijalna obveza prijave NC-CERT-u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B79569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Ransomware, povreda osobnih podataka, kompromitacija admin računa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EBBAB2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 xml:space="preserve">Odmah </w:t>
            </w:r>
            <w:r w:rsidRPr="00405B8C">
              <w:rPr>
                <w:color w:val="1A1A1A"/>
                <w:sz w:val="20"/>
                <w:szCs w:val="20"/>
              </w:rPr>
              <w:t>→</w:t>
            </w: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 xml:space="preserve"> CISO + IT + Uprava + NC-CERT (24h)</w:t>
            </w:r>
          </w:p>
        </w:tc>
      </w:tr>
      <w:tr w:rsidR="00087F88" w:rsidRPr="00405B8C" w14:paraId="669CD67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A0BE53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lastRenderedPageBreak/>
              <w:t>P2 – Visok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B23098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Ograničen utjecaj; bez trenutne poslovne štete ali zahtijeva hitno rješavanje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FF2B22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Phishing uspješan (klik), sumnja na kompromitaciju, DoS manji opseg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269131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CISO i IT unutar 4h</w:t>
            </w:r>
          </w:p>
        </w:tc>
      </w:tr>
      <w:tr w:rsidR="00087F88" w:rsidRPr="00405B8C" w14:paraId="3404060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DCB959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P3 – Srednji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BF598F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Manji utjecaj; nije kritično ali zahtijeva istragu i dokumentaciju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DB8EB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Neuspješni phishing, sumnjivi log, malware blokiran antivirusom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FE5B5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IT unutar 24h, CISO informiran</w:t>
            </w:r>
          </w:p>
        </w:tc>
      </w:tr>
      <w:tr w:rsidR="00087F88" w:rsidRPr="00405B8C" w14:paraId="16D3627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68356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P4 – Nizak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D66C3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Minimalan ili nikakav utjecaj; rutinski sigurnosni događaj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03519A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Blokirana neovlaštena prijava, automatski karanteniran mail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5E5AEF" w14:textId="77777777" w:rsidR="00087F88" w:rsidRPr="00405B8C" w:rsidRDefault="00000000" w:rsidP="00405B8C">
            <w:pPr>
              <w:spacing w:after="120"/>
              <w:rPr>
                <w:rFonts w:ascii="Candara" w:hAnsi="Candara"/>
              </w:rPr>
            </w:pPr>
            <w:r w:rsidRPr="00405B8C">
              <w:rPr>
                <w:rFonts w:ascii="Candara" w:hAnsi="Candara"/>
                <w:color w:val="1A1A1A"/>
                <w:sz w:val="20"/>
                <w:szCs w:val="20"/>
              </w:rPr>
              <w:t>IT dokumentira, bez eskalacije</w:t>
            </w:r>
          </w:p>
        </w:tc>
      </w:tr>
    </w:tbl>
    <w:p w14:paraId="46740D79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p w14:paraId="6D35A9EE" w14:textId="77777777" w:rsidR="00087F88" w:rsidRPr="00405B8C" w:rsidRDefault="00000000" w:rsidP="00405B8C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405B8C">
        <w:rPr>
          <w:rFonts w:ascii="Candara" w:hAnsi="Candara"/>
          <w:smallCaps/>
        </w:rPr>
        <w:t>4. Postupak prijave incidenta</w:t>
      </w:r>
    </w:p>
    <w:p w14:paraId="3EC4FA89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Svaki zaposlenik dužan je prijaviti svaki sumnjivi događaj na:</w:t>
      </w:r>
    </w:p>
    <w:p w14:paraId="25CC22FA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 xml:space="preserve">E-mail: </w:t>
      </w:r>
      <w:r w:rsidRPr="00405B8C">
        <w:rPr>
          <w:rFonts w:ascii="Candara" w:hAnsi="Candara"/>
          <w:color w:val="1A1A1A"/>
          <w:highlight w:val="yellow"/>
        </w:rPr>
        <w:t>sigurnost@mlinar.hr</w:t>
      </w:r>
      <w:r w:rsidRPr="00405B8C">
        <w:rPr>
          <w:rFonts w:ascii="Candara" w:hAnsi="Candara"/>
          <w:color w:val="1A1A1A"/>
        </w:rPr>
        <w:t xml:space="preserve">  ili  daniel.bara@adventure-spirit.hr (Vanjski CISO)</w:t>
      </w:r>
    </w:p>
    <w:p w14:paraId="2366960E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Telefon: Sergej Petrović (IT odjel) – za hitne slučajeve</w:t>
      </w:r>
    </w:p>
    <w:p w14:paraId="31976AA2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Rok prijave zaposlenika: odmah po uočavanju, najkasnije 2 sata</w:t>
      </w:r>
    </w:p>
    <w:p w14:paraId="46D37124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Vanjski CISO / IT odjel dužni su:</w:t>
      </w:r>
    </w:p>
    <w:p w14:paraId="38A84733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Klasificirati incident prema taksonomiji i razini težine</w:t>
      </w:r>
    </w:p>
    <w:p w14:paraId="2AC03031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Pokrenuti postupak odgovora prema Proceduri odgovora na incidente</w:t>
      </w:r>
    </w:p>
    <w:p w14:paraId="2A059847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Prijaviti značajne incidente NC-CERT-u putem PiXi platforme unutar 24h</w:t>
      </w:r>
    </w:p>
    <w:p w14:paraId="33AF926B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Prijaviti povredu osobnih podataka AZOP-u unutar 72h (ako je primjenjivo)</w:t>
      </w:r>
    </w:p>
    <w:p w14:paraId="7190D64E" w14:textId="77777777" w:rsidR="00087F88" w:rsidRPr="00405B8C" w:rsidRDefault="00000000" w:rsidP="00405B8C">
      <w:pPr>
        <w:pStyle w:val="ListParagraph"/>
        <w:numPr>
          <w:ilvl w:val="0"/>
          <w:numId w:val="2"/>
        </w:num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Dokumentirati sve aktivnosti u ovom Registru</w:t>
      </w:r>
    </w:p>
    <w:p w14:paraId="25BAEA2D" w14:textId="77777777" w:rsidR="00405B8C" w:rsidRDefault="00405B8C" w:rsidP="00405B8C">
      <w:pPr>
        <w:spacing w:after="120"/>
        <w:jc w:val="both"/>
        <w:rPr>
          <w:rFonts w:ascii="Candara" w:hAnsi="Candara"/>
        </w:rPr>
        <w:sectPr w:rsidR="00405B8C" w:rsidSect="00405B8C">
          <w:pgSz w:w="11906" w:h="16838"/>
          <w:pgMar w:top="1418" w:right="1134" w:bottom="1418" w:left="1134" w:header="709" w:footer="709" w:gutter="0"/>
          <w:cols w:space="720"/>
          <w:docGrid w:linePitch="360"/>
        </w:sectPr>
      </w:pPr>
    </w:p>
    <w:p w14:paraId="5CED188A" w14:textId="77777777" w:rsidR="00087F88" w:rsidRPr="00405B8C" w:rsidRDefault="00000000" w:rsidP="00405B8C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405B8C">
        <w:rPr>
          <w:rFonts w:ascii="Candara" w:hAnsi="Candara"/>
          <w:smallCaps/>
        </w:rPr>
        <w:lastRenderedPageBreak/>
        <w:t>5. Evidencija incidenata</w:t>
      </w:r>
    </w:p>
    <w:p w14:paraId="0ED33E67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1A1A1A"/>
        </w:rPr>
        <w:t>Za svaki incident popunjava se zapis u tablici ispod ili u zasebnom Izvješću o incidentu (OB-INC-01).</w:t>
      </w:r>
    </w:p>
    <w:p w14:paraId="590DA7D8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51"/>
        <w:gridCol w:w="1462"/>
        <w:gridCol w:w="1100"/>
        <w:gridCol w:w="983"/>
        <w:gridCol w:w="1134"/>
        <w:gridCol w:w="1276"/>
        <w:gridCol w:w="1134"/>
        <w:gridCol w:w="1134"/>
        <w:gridCol w:w="1418"/>
        <w:gridCol w:w="1134"/>
        <w:gridCol w:w="1275"/>
        <w:gridCol w:w="851"/>
      </w:tblGrid>
      <w:tr w:rsidR="00087F88" w:rsidRPr="00405B8C" w14:paraId="56746E5A" w14:textId="77777777" w:rsidTr="00405B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ECECAC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406F3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Datum prijave</w:t>
            </w:r>
          </w:p>
        </w:tc>
        <w:tc>
          <w:tcPr>
            <w:tcW w:w="14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F70D5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Datum/Vrijeme incidenta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66D5B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Kategorija</w:t>
            </w:r>
          </w:p>
        </w:tc>
        <w:tc>
          <w:tcPr>
            <w:tcW w:w="9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E3E3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Razina (P1-P4)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857BA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Kratki opis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E58DE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Zahvaćeni sustavi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82E29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Prijavitelj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3C8451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Voditelj istrage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ACE4C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Poduzetne mjere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D084F8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Prijava NC-CERT (D/N)</w:t>
            </w:r>
          </w:p>
        </w:tc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8A1B99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Datum zatvaranja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51A00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87F88" w:rsidRPr="00405B8C" w14:paraId="33AE24D3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BA55A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INC-2025-001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75B40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89274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B4660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9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BAB37F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84D54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F69281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5F41EB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70B327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95D6C1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5C800F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A9800A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A1C92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</w:tr>
      <w:tr w:rsidR="00087F88" w:rsidRPr="00405B8C" w14:paraId="2A8596D5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C775B7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INC-2025-002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FBB6C3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9F230B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102C6C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9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84F36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7A1A18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47F198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0C3D1F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918D2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DFEDA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ADD2A6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770B1C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F22515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</w:tr>
      <w:tr w:rsidR="00087F88" w:rsidRPr="00405B8C" w14:paraId="3AA9011C" w14:textId="77777777" w:rsidTr="00405B8C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83B2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INC-2025-003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011AF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74FFA7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8075CB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9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33DB90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7B15F4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060809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6F054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2B587A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EE23AE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DB7825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9CE42D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EA9027" w14:textId="77777777" w:rsidR="00087F88" w:rsidRPr="00405B8C" w:rsidRDefault="00000000" w:rsidP="00405B8C">
            <w:pPr>
              <w:spacing w:after="120"/>
              <w:jc w:val="both"/>
              <w:rPr>
                <w:rFonts w:ascii="Candara" w:hAnsi="Candara"/>
                <w:sz w:val="18"/>
                <w:szCs w:val="18"/>
              </w:rPr>
            </w:pPr>
            <w:r w:rsidRPr="00405B8C">
              <w:rPr>
                <w:rFonts w:ascii="Candara" w:hAnsi="Candara"/>
                <w:color w:val="1A1A1A"/>
                <w:sz w:val="18"/>
                <w:szCs w:val="18"/>
              </w:rPr>
              <w:t>—</w:t>
            </w:r>
          </w:p>
        </w:tc>
      </w:tr>
    </w:tbl>
    <w:p w14:paraId="009C59F4" w14:textId="77777777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p w14:paraId="0933A3C3" w14:textId="77777777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555555"/>
          <w:sz w:val="20"/>
          <w:szCs w:val="20"/>
        </w:rPr>
        <w:t>Napomena: Redovi se dodaju po potrebi. Svaki incident dobiva jedinstveni ID u formatu INC-GGGG-NNN.</w:t>
      </w:r>
    </w:p>
    <w:p w14:paraId="76F0B07E" w14:textId="77777777" w:rsidR="00405B8C" w:rsidRDefault="00405B8C" w:rsidP="00405B8C">
      <w:pPr>
        <w:spacing w:after="120"/>
        <w:jc w:val="both"/>
        <w:rPr>
          <w:rFonts w:ascii="Candara" w:hAnsi="Candara"/>
        </w:rPr>
      </w:pPr>
    </w:p>
    <w:p w14:paraId="45966221" w14:textId="7BE63CE2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color w:val="555555"/>
          <w:sz w:val="20"/>
          <w:szCs w:val="20"/>
        </w:rPr>
        <w:t>Napomena o dosadašnjim incidentima: Do datuma kreiranja ovog Registra nije zabilježen niti jedan značajni kibernetički sigurnosni incident koji bi iziskivao prijavu NC-CERT-u. Evidentirani su neuspješni phishing pokušaji koji su riješeni bez poslovnih posljedica.</w:t>
      </w:r>
    </w:p>
    <w:p w14:paraId="353F56CE" w14:textId="4ABA9D44" w:rsidR="00087F88" w:rsidRDefault="00405B8C" w:rsidP="00405B8C">
      <w:pPr>
        <w:spacing w:after="120"/>
        <w:jc w:val="both"/>
        <w:rPr>
          <w:rFonts w:ascii="Candara" w:hAnsi="Candara"/>
        </w:rPr>
      </w:pPr>
      <w:r>
        <w:rPr>
          <w:rFonts w:ascii="Candara" w:hAnsi="Candara"/>
          <w:noProof/>
          <w:color w:val="1A1A1A"/>
        </w:rPr>
        <w:drawing>
          <wp:anchor distT="0" distB="0" distL="114300" distR="114300" simplePos="0" relativeHeight="251658240" behindDoc="1" locked="0" layoutInCell="1" allowOverlap="1" wp14:anchorId="42411575" wp14:editId="65A93BC9">
            <wp:simplePos x="0" y="0"/>
            <wp:positionH relativeFrom="column">
              <wp:posOffset>4474210</wp:posOffset>
            </wp:positionH>
            <wp:positionV relativeFrom="paragraph">
              <wp:posOffset>101854</wp:posOffset>
            </wp:positionV>
            <wp:extent cx="1193800" cy="762000"/>
            <wp:effectExtent l="0" t="0" r="0" b="0"/>
            <wp:wrapNone/>
            <wp:docPr id="167768010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80109" name="Picture 1" descr="A signatur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66DEC" w14:textId="77777777" w:rsidR="00405B8C" w:rsidRPr="00405B8C" w:rsidRDefault="00405B8C" w:rsidP="00405B8C">
      <w:pPr>
        <w:spacing w:after="120"/>
        <w:jc w:val="both"/>
        <w:rPr>
          <w:rFonts w:ascii="Candara" w:hAnsi="Candara"/>
        </w:rPr>
      </w:pPr>
    </w:p>
    <w:p w14:paraId="59F1F1A7" w14:textId="2F270C93" w:rsidR="00087F88" w:rsidRPr="00405B8C" w:rsidRDefault="00000000" w:rsidP="00405B8C">
      <w:pPr>
        <w:spacing w:after="120"/>
        <w:jc w:val="both"/>
        <w:rPr>
          <w:rFonts w:ascii="Candara" w:hAnsi="Candara"/>
        </w:rPr>
      </w:pPr>
      <w:r w:rsidRPr="00405B8C">
        <w:rPr>
          <w:rFonts w:ascii="Candara" w:hAnsi="Candara"/>
          <w:b/>
          <w:bCs/>
          <w:color w:val="1A3A5C"/>
        </w:rPr>
        <w:t xml:space="preserve">Vlasnik dokumenta (Vanjski CISO): </w:t>
      </w:r>
      <w:r w:rsidRPr="00405B8C">
        <w:rPr>
          <w:rFonts w:ascii="Candara" w:hAnsi="Candara"/>
          <w:color w:val="1A1A1A"/>
        </w:rPr>
        <w:t xml:space="preserve">Daniel Bara   Datum: </w:t>
      </w:r>
      <w:r w:rsidR="00405B8C">
        <w:rPr>
          <w:rFonts w:ascii="Candara" w:hAnsi="Candara"/>
          <w:color w:val="1A1A1A"/>
        </w:rPr>
        <w:t>15.2.2026</w:t>
      </w:r>
      <w:r w:rsidRPr="00405B8C">
        <w:rPr>
          <w:rFonts w:ascii="Candara" w:hAnsi="Candara"/>
          <w:color w:val="1A1A1A"/>
        </w:rPr>
        <w:t xml:space="preserve">   Potpis: _____________________</w:t>
      </w:r>
    </w:p>
    <w:p w14:paraId="31D0852F" w14:textId="0AAFC218" w:rsidR="00087F88" w:rsidRPr="00405B8C" w:rsidRDefault="00087F88" w:rsidP="00405B8C">
      <w:pPr>
        <w:spacing w:after="120"/>
        <w:jc w:val="both"/>
        <w:rPr>
          <w:rFonts w:ascii="Candara" w:hAnsi="Candara"/>
        </w:rPr>
      </w:pPr>
    </w:p>
    <w:sectPr w:rsidR="00087F88" w:rsidRPr="00405B8C" w:rsidSect="00405B8C">
      <w:pgSz w:w="16838" w:h="11906" w:orient="landscape"/>
      <w:pgMar w:top="1134" w:right="1418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FC0"/>
    <w:multiLevelType w:val="hybridMultilevel"/>
    <w:tmpl w:val="925A304C"/>
    <w:lvl w:ilvl="0" w:tplc="578CE880">
      <w:start w:val="1"/>
      <w:numFmt w:val="bullet"/>
      <w:lvlText w:val="●"/>
      <w:lvlJc w:val="left"/>
      <w:pPr>
        <w:ind w:left="720" w:hanging="360"/>
      </w:pPr>
    </w:lvl>
    <w:lvl w:ilvl="1" w:tplc="299A8494">
      <w:start w:val="1"/>
      <w:numFmt w:val="bullet"/>
      <w:lvlText w:val="○"/>
      <w:lvlJc w:val="left"/>
      <w:pPr>
        <w:ind w:left="1440" w:hanging="360"/>
      </w:pPr>
    </w:lvl>
    <w:lvl w:ilvl="2" w:tplc="B8D431DA">
      <w:start w:val="1"/>
      <w:numFmt w:val="bullet"/>
      <w:lvlText w:val="■"/>
      <w:lvlJc w:val="left"/>
      <w:pPr>
        <w:ind w:left="2160" w:hanging="360"/>
      </w:pPr>
    </w:lvl>
    <w:lvl w:ilvl="3" w:tplc="EA0A3274">
      <w:start w:val="1"/>
      <w:numFmt w:val="bullet"/>
      <w:lvlText w:val="●"/>
      <w:lvlJc w:val="left"/>
      <w:pPr>
        <w:ind w:left="2880" w:hanging="360"/>
      </w:pPr>
    </w:lvl>
    <w:lvl w:ilvl="4" w:tplc="EBBE6DA4">
      <w:start w:val="1"/>
      <w:numFmt w:val="bullet"/>
      <w:lvlText w:val="○"/>
      <w:lvlJc w:val="left"/>
      <w:pPr>
        <w:ind w:left="3600" w:hanging="360"/>
      </w:pPr>
    </w:lvl>
    <w:lvl w:ilvl="5" w:tplc="ADA07ED6">
      <w:start w:val="1"/>
      <w:numFmt w:val="bullet"/>
      <w:lvlText w:val="■"/>
      <w:lvlJc w:val="left"/>
      <w:pPr>
        <w:ind w:left="4320" w:hanging="360"/>
      </w:pPr>
    </w:lvl>
    <w:lvl w:ilvl="6" w:tplc="6D48CF86">
      <w:start w:val="1"/>
      <w:numFmt w:val="bullet"/>
      <w:lvlText w:val="●"/>
      <w:lvlJc w:val="left"/>
      <w:pPr>
        <w:ind w:left="5040" w:hanging="360"/>
      </w:pPr>
    </w:lvl>
    <w:lvl w:ilvl="7" w:tplc="D4B81B18">
      <w:start w:val="1"/>
      <w:numFmt w:val="bullet"/>
      <w:lvlText w:val="●"/>
      <w:lvlJc w:val="left"/>
      <w:pPr>
        <w:ind w:left="5760" w:hanging="360"/>
      </w:pPr>
    </w:lvl>
    <w:lvl w:ilvl="8" w:tplc="AF62C27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2C4D19"/>
    <w:multiLevelType w:val="hybridMultilevel"/>
    <w:tmpl w:val="DBC47EFE"/>
    <w:lvl w:ilvl="0" w:tplc="390284F4">
      <w:start w:val="1"/>
      <w:numFmt w:val="bullet"/>
      <w:lvlText w:val="•"/>
      <w:lvlJc w:val="left"/>
      <w:pPr>
        <w:ind w:left="720" w:hanging="360"/>
      </w:pPr>
    </w:lvl>
    <w:lvl w:ilvl="1" w:tplc="2F16D5E6">
      <w:start w:val="1"/>
      <w:numFmt w:val="bullet"/>
      <w:lvlText w:val="–"/>
      <w:lvlJc w:val="left"/>
      <w:pPr>
        <w:ind w:left="1080" w:hanging="360"/>
      </w:pPr>
    </w:lvl>
    <w:lvl w:ilvl="2" w:tplc="8BE8DC46">
      <w:numFmt w:val="decimal"/>
      <w:lvlText w:val=""/>
      <w:lvlJc w:val="left"/>
    </w:lvl>
    <w:lvl w:ilvl="3" w:tplc="EAD471BE">
      <w:numFmt w:val="decimal"/>
      <w:lvlText w:val=""/>
      <w:lvlJc w:val="left"/>
    </w:lvl>
    <w:lvl w:ilvl="4" w:tplc="F376AF2A">
      <w:numFmt w:val="decimal"/>
      <w:lvlText w:val=""/>
      <w:lvlJc w:val="left"/>
    </w:lvl>
    <w:lvl w:ilvl="5" w:tplc="5C382B6C">
      <w:numFmt w:val="decimal"/>
      <w:lvlText w:val=""/>
      <w:lvlJc w:val="left"/>
    </w:lvl>
    <w:lvl w:ilvl="6" w:tplc="1D5A7858">
      <w:numFmt w:val="decimal"/>
      <w:lvlText w:val=""/>
      <w:lvlJc w:val="left"/>
    </w:lvl>
    <w:lvl w:ilvl="7" w:tplc="2D28C478">
      <w:numFmt w:val="decimal"/>
      <w:lvlText w:val=""/>
      <w:lvlJc w:val="left"/>
    </w:lvl>
    <w:lvl w:ilvl="8" w:tplc="DD048EE2">
      <w:numFmt w:val="decimal"/>
      <w:lvlText w:val=""/>
      <w:lvlJc w:val="left"/>
    </w:lvl>
  </w:abstractNum>
  <w:num w:numId="1" w16cid:durableId="1965575539">
    <w:abstractNumId w:val="0"/>
    <w:lvlOverride w:ilvl="0">
      <w:startOverride w:val="1"/>
    </w:lvlOverride>
  </w:num>
  <w:num w:numId="2" w16cid:durableId="13307162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88"/>
    <w:rsid w:val="00087F88"/>
    <w:rsid w:val="00405B8C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DC6E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20"/>
      <w:outlineLvl w:val="2"/>
    </w:pPr>
    <w:rPr>
      <w:b/>
      <w:bCs/>
      <w:color w:val="55555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3300E-1CD1-6647-8DC7-A02DBD10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3181</Characters>
  <Application>Microsoft Office Word</Application>
  <DocSecurity>0</DocSecurity>
  <Lines>26</Lines>
  <Paragraphs>7</Paragraphs>
  <ScaleCrop>false</ScaleCrop>
  <Company>AP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2026-03-15T12:14:00Z</dcterms:created>
  <dcterms:modified xsi:type="dcterms:W3CDTF">2026-03-15T17:55:00Z</dcterms:modified>
</cp:coreProperties>
</file>