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7D0B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555555"/>
        </w:rPr>
        <w:t>Mlinar pekarska industrija d.o.o.</w:t>
      </w:r>
    </w:p>
    <w:p w14:paraId="1498D6A1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466EAAD7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1E9CD778" w14:textId="79077490" w:rsidR="003F777A" w:rsidRPr="0052766C" w:rsidRDefault="0052766C" w:rsidP="0052766C">
      <w:pPr>
        <w:pStyle w:val="Heading1"/>
        <w:spacing w:before="0" w:after="60"/>
        <w:jc w:val="center"/>
        <w:rPr>
          <w:rFonts w:ascii="Candara" w:hAnsi="Candara"/>
        </w:rPr>
      </w:pPr>
      <w:r w:rsidRPr="0052766C">
        <w:rPr>
          <w:rFonts w:ascii="Candara" w:hAnsi="Candara"/>
        </w:rPr>
        <w:t>REGISTAR ZAKONSKIH I REGULATORNIH ZAHTJEVA</w:t>
      </w:r>
    </w:p>
    <w:p w14:paraId="0202D683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color w:val="555555"/>
          <w:sz w:val="20"/>
          <w:szCs w:val="20"/>
        </w:rPr>
        <w:t>Dokument: RE-COMPLIANCE-v1.0  |  Verzija: 1.0  |  Datum: 15. 03. 2026.  |  Vlasnik: Vanjski CISO / Pravna služba</w:t>
      </w:r>
    </w:p>
    <w:p w14:paraId="41EC10BE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color w:val="555555"/>
          <w:sz w:val="20"/>
          <w:szCs w:val="20"/>
        </w:rPr>
        <w:t>Temelj: ZKS mjera 3.1., ISO 27001 A.5.31, GDPR čl. 24</w:t>
      </w:r>
    </w:p>
    <w:p w14:paraId="7732B3A3" w14:textId="77777777" w:rsidR="0052766C" w:rsidRDefault="0052766C" w:rsidP="0052766C">
      <w:pPr>
        <w:pStyle w:val="Heading2"/>
        <w:spacing w:before="0" w:after="60"/>
        <w:jc w:val="both"/>
        <w:rPr>
          <w:rFonts w:ascii="Candara" w:hAnsi="Candara"/>
        </w:rPr>
      </w:pPr>
    </w:p>
    <w:p w14:paraId="166B569E" w14:textId="1E427943" w:rsidR="003F777A" w:rsidRPr="0052766C" w:rsidRDefault="00000000" w:rsidP="0052766C">
      <w:pPr>
        <w:pStyle w:val="Heading2"/>
        <w:spacing w:before="0" w:after="60"/>
        <w:jc w:val="both"/>
        <w:rPr>
          <w:rFonts w:ascii="Candara" w:hAnsi="Candara"/>
          <w:smallCaps/>
        </w:rPr>
      </w:pPr>
      <w:r w:rsidRPr="0052766C">
        <w:rPr>
          <w:rFonts w:ascii="Candara" w:hAnsi="Candara"/>
          <w:smallCaps/>
        </w:rPr>
        <w:t>1. Svrha i opseg</w:t>
      </w:r>
    </w:p>
    <w:p w14:paraId="2EE6A4F2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color w:val="1A1A1A"/>
        </w:rPr>
        <w:t>Ovaj Registar identificira sve primjenjive zakonske, regulatorne i ugovorne zahtjeve kojima je Mlinar pekarska industrija d.o.o. podložna u kontekstu kibernetičke sigurnosti, zaštite podataka i upravljanja sustavima. Registar se ažurira najmanje jednom godišnje ili pri donošenju novih propisa.</w:t>
      </w:r>
    </w:p>
    <w:p w14:paraId="61529E92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399A2BE5" w14:textId="77777777" w:rsidR="003F777A" w:rsidRPr="0052766C" w:rsidRDefault="00000000" w:rsidP="0052766C">
      <w:pPr>
        <w:pStyle w:val="Heading2"/>
        <w:spacing w:before="0" w:after="60"/>
        <w:jc w:val="both"/>
        <w:rPr>
          <w:rFonts w:ascii="Candara" w:hAnsi="Candara"/>
          <w:smallCaps/>
        </w:rPr>
      </w:pPr>
      <w:r w:rsidRPr="0052766C">
        <w:rPr>
          <w:rFonts w:ascii="Candara" w:hAnsi="Candara"/>
          <w:smallCaps/>
        </w:rPr>
        <w:t>2. Zakonodavni i regulatorni zahtjevi</w:t>
      </w:r>
    </w:p>
    <w:p w14:paraId="6A24B5CD" w14:textId="531A072B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1A1A"/>
        </w:rPr>
        <w:t>2.1 Kibernetička sigurnost</w:t>
      </w:r>
    </w:p>
    <w:tbl>
      <w:tblPr>
        <w:tblW w:w="97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396"/>
        <w:gridCol w:w="2483"/>
        <w:gridCol w:w="1680"/>
        <w:gridCol w:w="1408"/>
        <w:gridCol w:w="1267"/>
      </w:tblGrid>
      <w:tr w:rsidR="003F777A" w:rsidRPr="0052766C" w14:paraId="29247607" w14:textId="77777777" w:rsidTr="0052766C">
        <w:trPr>
          <w:tblHeader/>
        </w:trPr>
        <w:tc>
          <w:tcPr>
            <w:tcW w:w="15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5F58A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Propis / Standard</w:t>
            </w:r>
          </w:p>
        </w:tc>
        <w:tc>
          <w:tcPr>
            <w:tcW w:w="13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D80C8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Oznaka</w:t>
            </w:r>
          </w:p>
        </w:tc>
        <w:tc>
          <w:tcPr>
            <w:tcW w:w="2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6664E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Obveza</w:t>
            </w:r>
          </w:p>
        </w:tc>
        <w:tc>
          <w:tcPr>
            <w:tcW w:w="1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3A9A8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Rok / Rok usklađenosti</w:t>
            </w:r>
          </w:p>
        </w:tc>
        <w:tc>
          <w:tcPr>
            <w:tcW w:w="1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483E3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87646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</w:tr>
      <w:tr w:rsidR="003F777A" w:rsidRPr="0052766C" w14:paraId="2A8B7C4E" w14:textId="77777777" w:rsidTr="0052766C">
        <w:tc>
          <w:tcPr>
            <w:tcW w:w="15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D0A881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kibernetičkoj sigurnosti</w:t>
            </w:r>
          </w:p>
        </w:tc>
        <w:tc>
          <w:tcPr>
            <w:tcW w:w="13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DD656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14/24</w:t>
            </w:r>
          </w:p>
        </w:tc>
        <w:tc>
          <w:tcPr>
            <w:tcW w:w="2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87387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Implementacija 13 mjera kibernetičke sigurnosti; prijava incidenata NC-CERT-u; samoprocjena</w:t>
            </w:r>
          </w:p>
        </w:tc>
        <w:tc>
          <w:tcPr>
            <w:tcW w:w="1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F161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12 mj. od primitka odluke o kategorizaciji</w:t>
            </w:r>
          </w:p>
        </w:tc>
        <w:tc>
          <w:tcPr>
            <w:tcW w:w="1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4F1B7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 tijeku</w:t>
            </w:r>
          </w:p>
        </w:tc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DC829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</w:tr>
      <w:tr w:rsidR="003F777A" w:rsidRPr="0052766C" w14:paraId="1B336928" w14:textId="77777777" w:rsidTr="0052766C">
        <w:tc>
          <w:tcPr>
            <w:tcW w:w="15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2C89D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Uredba o kibernetičkoj sigurnosti</w:t>
            </w:r>
          </w:p>
        </w:tc>
        <w:tc>
          <w:tcPr>
            <w:tcW w:w="13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AFC35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135/24</w:t>
            </w:r>
          </w:p>
        </w:tc>
        <w:tc>
          <w:tcPr>
            <w:tcW w:w="2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E66F4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Detaljne tehničke i organizacijske mjere (13 mjera s podskupovima)</w:t>
            </w:r>
          </w:p>
        </w:tc>
        <w:tc>
          <w:tcPr>
            <w:tcW w:w="1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46A10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Sukladno ZKS-u</w:t>
            </w:r>
          </w:p>
        </w:tc>
        <w:tc>
          <w:tcPr>
            <w:tcW w:w="1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9C348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 tijeku</w:t>
            </w:r>
          </w:p>
        </w:tc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98E91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</w:tr>
      <w:tr w:rsidR="003F777A" w:rsidRPr="0052766C" w14:paraId="5594D665" w14:textId="77777777" w:rsidTr="0052766C">
        <w:tc>
          <w:tcPr>
            <w:tcW w:w="15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55EDC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NIS2 Direktiva</w:t>
            </w:r>
          </w:p>
        </w:tc>
        <w:tc>
          <w:tcPr>
            <w:tcW w:w="13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90121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EU 2022/2555</w:t>
            </w:r>
          </w:p>
        </w:tc>
        <w:tc>
          <w:tcPr>
            <w:tcW w:w="2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12963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Europski regulatorni okvir (transponiran kroz ZKS)</w:t>
            </w:r>
          </w:p>
        </w:tc>
        <w:tc>
          <w:tcPr>
            <w:tcW w:w="1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193C4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1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2A6581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Pokriveno ZKS-om</w:t>
            </w:r>
          </w:p>
        </w:tc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84ED6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</w:tr>
      <w:tr w:rsidR="003F777A" w:rsidRPr="0052766C" w14:paraId="43A0E377" w14:textId="77777777" w:rsidTr="0052766C">
        <w:tc>
          <w:tcPr>
            <w:tcW w:w="15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F1C731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Nacionalni program upravljanja kib. krizama</w:t>
            </w:r>
          </w:p>
        </w:tc>
        <w:tc>
          <w:tcPr>
            <w:tcW w:w="13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738F3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NPUKK VRH 57/2025</w:t>
            </w:r>
          </w:p>
        </w:tc>
        <w:tc>
          <w:tcPr>
            <w:tcW w:w="24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4A512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Usklađenost s nacionalnim planom kibernetičke otpornosti</w:t>
            </w:r>
          </w:p>
        </w:tc>
        <w:tc>
          <w:tcPr>
            <w:tcW w:w="16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19128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14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E87D2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Informativno</w:t>
            </w:r>
          </w:p>
        </w:tc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16900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</w:tr>
    </w:tbl>
    <w:p w14:paraId="0E43349C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4345F91F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1A1A"/>
        </w:rPr>
        <w:t>2.2 Zaštita osobnih podataka</w:t>
      </w:r>
    </w:p>
    <w:tbl>
      <w:tblPr>
        <w:tblW w:w="993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418"/>
        <w:gridCol w:w="2409"/>
        <w:gridCol w:w="1134"/>
        <w:gridCol w:w="1701"/>
        <w:gridCol w:w="1418"/>
      </w:tblGrid>
      <w:tr w:rsidR="003F777A" w:rsidRPr="0052766C" w14:paraId="62598FB1" w14:textId="77777777" w:rsidTr="0052766C">
        <w:trPr>
          <w:tblHeader/>
        </w:trPr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E5D14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Propis / Standard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9AD6F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Oznaka</w:t>
            </w:r>
          </w:p>
        </w:tc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361F8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Obveza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63FDF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Rok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12E5F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0D0A8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</w:tr>
      <w:tr w:rsidR="003F777A" w:rsidRPr="0052766C" w14:paraId="64B88508" w14:textId="77777777" w:rsidTr="0052766C"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EA716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Opća uredba o zaštiti podataka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0DA98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EU 2016/679 (GDPR)</w:t>
            </w:r>
          </w:p>
        </w:tc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2C83F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Zaštita osobnih podataka; imenovanje DPO-a; DPIA; prijava povreda AZOP-u u 72h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CF8D3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Trajno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698C2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Implementirano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32F39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DPO</w:t>
            </w:r>
          </w:p>
        </w:tc>
      </w:tr>
      <w:tr w:rsidR="003F777A" w:rsidRPr="0052766C" w14:paraId="116AF98A" w14:textId="77777777" w:rsidTr="0052766C"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D46A3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provedbi GDPR-a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FA649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42/18</w:t>
            </w:r>
          </w:p>
        </w:tc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F1D4B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Provedba GDPR-a u RH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7949F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Trajno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1857E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Implementirano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F0654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DPO / Pravna služba</w:t>
            </w:r>
          </w:p>
        </w:tc>
      </w:tr>
      <w:tr w:rsidR="003F777A" w:rsidRPr="0052766C" w14:paraId="50DB3275" w14:textId="77777777" w:rsidTr="0052766C">
        <w:tc>
          <w:tcPr>
            <w:tcW w:w="1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F3F04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zaštiti na radu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56E3F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71/14 i dopune</w:t>
            </w:r>
          </w:p>
        </w:tc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7519D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Zaštita zaposlenika uključujući digitalnu sigurnost</w:t>
            </w:r>
          </w:p>
        </w:tc>
        <w:tc>
          <w:tcPr>
            <w:tcW w:w="11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DC23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Trajno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BFD7A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Implementirano</w:t>
            </w:r>
          </w:p>
        </w:tc>
        <w:tc>
          <w:tcPr>
            <w:tcW w:w="1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BFD85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HR / Pravna služba</w:t>
            </w:r>
          </w:p>
        </w:tc>
      </w:tr>
    </w:tbl>
    <w:p w14:paraId="182C4131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1A1A"/>
        </w:rPr>
        <w:lastRenderedPageBreak/>
        <w:t>2.3 Sigurnost hrane i kvaliteta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415"/>
        <w:gridCol w:w="3061"/>
        <w:gridCol w:w="1658"/>
        <w:gridCol w:w="1549"/>
      </w:tblGrid>
      <w:tr w:rsidR="003F777A" w:rsidRPr="0052766C" w14:paraId="2E45C34B" w14:textId="77777777" w:rsidTr="0052766C">
        <w:trPr>
          <w:tblHeader/>
        </w:trPr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C8A5E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Propis / Standard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925FB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Oznaka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6F01E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Obveza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A85ED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4A73B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</w:tr>
      <w:tr w:rsidR="003F777A" w:rsidRPr="0052766C" w14:paraId="5B015CA6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61D43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IFS Food Standard v8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17E04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IFS Food 8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0405D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Certifikacija – sigurnost hrane, higijena, sljedivost; godišnji audit TÜV Nord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61FC1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Certificirano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104A5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Voditelj kvalitete</w:t>
            </w:r>
          </w:p>
        </w:tc>
      </w:tr>
      <w:tr w:rsidR="003F777A" w:rsidRPr="0052766C" w14:paraId="551FA812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4C331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HACCP – Hazard Analysis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5174B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Codex Alimentarius / EU 852/2004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F8600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Analiza opasnosti, kritične kontrolne točke, praćenje i korekcije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88156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Implementirano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A9E0B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Voditelj kvalitete</w:t>
            </w:r>
          </w:p>
        </w:tc>
      </w:tr>
      <w:tr w:rsidR="003F777A" w:rsidRPr="0052766C" w14:paraId="0A63F997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7FAC9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9001:2015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0C952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9001:2015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C244B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Certifikacija sustava upravljanja kvalitetom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D31AF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Certificirano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BF351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Voditelj kvalitete</w:t>
            </w:r>
          </w:p>
        </w:tc>
      </w:tr>
      <w:tr w:rsidR="003F777A" w:rsidRPr="0052766C" w14:paraId="6FABA1CA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6AC79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hrani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78768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81/13 i dopune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67DE2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Sigurnost hrane, označavanje, sljedivost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C15D9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3086A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Voditelj kvalitete / Pravna</w:t>
            </w:r>
          </w:p>
        </w:tc>
      </w:tr>
      <w:tr w:rsidR="003F777A" w:rsidRPr="0052766C" w14:paraId="309C4A6B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6AC7C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Uredba (EZ) 852/2004 o higijeni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7E1D3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EZ 852/2004</w:t>
            </w:r>
          </w:p>
        </w:tc>
        <w:tc>
          <w:tcPr>
            <w:tcW w:w="31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349D1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Higijenska pravila za subjekte u poslovanju s hranom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7BD68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E1919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Voditelj kvalitete</w:t>
            </w:r>
          </w:p>
        </w:tc>
      </w:tr>
    </w:tbl>
    <w:p w14:paraId="76DFB38C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7EF80967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1A1A"/>
        </w:rPr>
        <w:t>2.4 Energetika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835"/>
        <w:gridCol w:w="1559"/>
        <w:gridCol w:w="1417"/>
      </w:tblGrid>
      <w:tr w:rsidR="003F777A" w:rsidRPr="0052766C" w14:paraId="64667E3E" w14:textId="77777777" w:rsidTr="0052766C">
        <w:trPr>
          <w:tblHeader/>
        </w:trPr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FB64A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Propis / Standard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51C38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Oznaka</w:t>
            </w:r>
          </w:p>
        </w:tc>
        <w:tc>
          <w:tcPr>
            <w:tcW w:w="2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C79A0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Obveza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6C623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00E53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</w:tr>
      <w:tr w:rsidR="003F777A" w:rsidRPr="0052766C" w14:paraId="0EDFF2E2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05F5C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50001:2018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B1AFC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50001:2018</w:t>
            </w:r>
          </w:p>
        </w:tc>
        <w:tc>
          <w:tcPr>
            <w:tcW w:w="2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B2184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Certifikacija sustava upravljanja energijom; praćenje EnPI pokazatelja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5A163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Certificirano (ACCREDIA)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13EFB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Energetski menadžer</w:t>
            </w:r>
          </w:p>
        </w:tc>
      </w:tr>
      <w:tr w:rsidR="003F777A" w:rsidRPr="0052766C" w14:paraId="7D937BE7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7592C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energetskoj učinkovitosti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8DC65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127/14 i dopune</w:t>
            </w:r>
          </w:p>
        </w:tc>
        <w:tc>
          <w:tcPr>
            <w:tcW w:w="2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FF122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Obveza energetskih pregleda i izvještavanja za velike tvrtke</w:t>
            </w:r>
          </w:p>
        </w:tc>
        <w:tc>
          <w:tcPr>
            <w:tcW w:w="15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69646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3E6AC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Energetski menadžer</w:t>
            </w:r>
          </w:p>
        </w:tc>
      </w:tr>
    </w:tbl>
    <w:p w14:paraId="1E0559C9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4E523A14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1A1A"/>
        </w:rPr>
        <w:t>2.5 Financije i opće poslovanje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1824"/>
        <w:gridCol w:w="2797"/>
        <w:gridCol w:w="1658"/>
        <w:gridCol w:w="1402"/>
      </w:tblGrid>
      <w:tr w:rsidR="003F777A" w:rsidRPr="0052766C" w14:paraId="6E8D20D3" w14:textId="77777777" w:rsidTr="0052766C">
        <w:trPr>
          <w:tblHeader/>
        </w:trPr>
        <w:tc>
          <w:tcPr>
            <w:tcW w:w="19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75E77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Propis / Standard</w:t>
            </w:r>
          </w:p>
        </w:tc>
        <w:tc>
          <w:tcPr>
            <w:tcW w:w="18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3DEB5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Oznaka</w:t>
            </w:r>
          </w:p>
        </w:tc>
        <w:tc>
          <w:tcPr>
            <w:tcW w:w="27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7B49E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Obveza</w:t>
            </w:r>
          </w:p>
        </w:tc>
        <w:tc>
          <w:tcPr>
            <w:tcW w:w="16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CE9A6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0539F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</w:tr>
      <w:tr w:rsidR="003F777A" w:rsidRPr="0052766C" w14:paraId="278B8E0A" w14:textId="77777777" w:rsidTr="0052766C">
        <w:tc>
          <w:tcPr>
            <w:tcW w:w="19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31410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računovodstvu</w:t>
            </w:r>
          </w:p>
        </w:tc>
        <w:tc>
          <w:tcPr>
            <w:tcW w:w="18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98857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78/15 i dopune</w:t>
            </w:r>
          </w:p>
        </w:tc>
        <w:tc>
          <w:tcPr>
            <w:tcW w:w="27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4594A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Vođenje poslovnih knjiga; čuvanje računovodstvene dokumentacije (min. 11 god.)</w:t>
            </w:r>
          </w:p>
        </w:tc>
        <w:tc>
          <w:tcPr>
            <w:tcW w:w="16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64A3C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</w:t>
            </w:r>
          </w:p>
        </w:tc>
        <w:tc>
          <w:tcPr>
            <w:tcW w:w="1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EB223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Financije</w:t>
            </w:r>
          </w:p>
        </w:tc>
      </w:tr>
      <w:tr w:rsidR="003F777A" w:rsidRPr="0052766C" w14:paraId="08B4F035" w14:textId="77777777" w:rsidTr="0052766C">
        <w:tc>
          <w:tcPr>
            <w:tcW w:w="19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D4E01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fiskalizaciji</w:t>
            </w:r>
          </w:p>
        </w:tc>
        <w:tc>
          <w:tcPr>
            <w:tcW w:w="18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A6812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133/12 i dopune</w:t>
            </w:r>
          </w:p>
        </w:tc>
        <w:tc>
          <w:tcPr>
            <w:tcW w:w="27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B51C4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Fiskalizacija gotovinskih računa; IT zahtjevi za POS sustave</w:t>
            </w:r>
          </w:p>
        </w:tc>
        <w:tc>
          <w:tcPr>
            <w:tcW w:w="16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0B376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Implementirano</w:t>
            </w:r>
          </w:p>
        </w:tc>
        <w:tc>
          <w:tcPr>
            <w:tcW w:w="1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908D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IT / Financije</w:t>
            </w:r>
          </w:p>
        </w:tc>
      </w:tr>
      <w:tr w:rsidR="003F777A" w:rsidRPr="0052766C" w14:paraId="42C47CCD" w14:textId="77777777" w:rsidTr="0052766C">
        <w:tc>
          <w:tcPr>
            <w:tcW w:w="19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6FDB6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radu</w:t>
            </w:r>
          </w:p>
        </w:tc>
        <w:tc>
          <w:tcPr>
            <w:tcW w:w="18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40B01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93/14 i dopune</w:t>
            </w:r>
          </w:p>
        </w:tc>
        <w:tc>
          <w:tcPr>
            <w:tcW w:w="27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B072F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Radna prava zaposlenika; obrada podataka zaposlenika</w:t>
            </w:r>
          </w:p>
        </w:tc>
        <w:tc>
          <w:tcPr>
            <w:tcW w:w="16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375D4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Usklađeno</w:t>
            </w:r>
          </w:p>
        </w:tc>
        <w:tc>
          <w:tcPr>
            <w:tcW w:w="1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03183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HR / Pravna</w:t>
            </w:r>
          </w:p>
        </w:tc>
      </w:tr>
      <w:tr w:rsidR="003F777A" w:rsidRPr="0052766C" w14:paraId="3430489E" w14:textId="77777777" w:rsidTr="0052766C">
        <w:tc>
          <w:tcPr>
            <w:tcW w:w="195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F48C4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Zakon o sprečavanju pranja novca</w:t>
            </w:r>
          </w:p>
        </w:tc>
        <w:tc>
          <w:tcPr>
            <w:tcW w:w="18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B573E6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NN 108/17 i dopune</w:t>
            </w:r>
          </w:p>
        </w:tc>
        <w:tc>
          <w:tcPr>
            <w:tcW w:w="27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2C3A0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AML/KYC obveze (primjenjivo na određene transakcije)</w:t>
            </w:r>
          </w:p>
        </w:tc>
        <w:tc>
          <w:tcPr>
            <w:tcW w:w="16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BB524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Primjenjivo</w:t>
            </w:r>
          </w:p>
        </w:tc>
        <w:tc>
          <w:tcPr>
            <w:tcW w:w="1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50FE14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Financije / Pravna</w:t>
            </w:r>
          </w:p>
        </w:tc>
      </w:tr>
    </w:tbl>
    <w:p w14:paraId="3B5E98E9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371CEF5F" w14:textId="77777777" w:rsidR="003F777A" w:rsidRPr="0052766C" w:rsidRDefault="00000000" w:rsidP="0052766C">
      <w:pPr>
        <w:pStyle w:val="Heading2"/>
        <w:spacing w:before="0" w:after="60"/>
        <w:jc w:val="both"/>
        <w:rPr>
          <w:rFonts w:ascii="Candara" w:hAnsi="Candara"/>
          <w:smallCaps/>
        </w:rPr>
      </w:pPr>
      <w:r w:rsidRPr="0052766C">
        <w:rPr>
          <w:rFonts w:ascii="Candara" w:hAnsi="Candara"/>
          <w:smallCaps/>
        </w:rPr>
        <w:lastRenderedPageBreak/>
        <w:t>3. Certifikati i potvrde usklađenosti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173"/>
        <w:gridCol w:w="1500"/>
        <w:gridCol w:w="2138"/>
      </w:tblGrid>
      <w:tr w:rsidR="003F777A" w:rsidRPr="0052766C" w14:paraId="624F7F37" w14:textId="77777777" w:rsidTr="0052766C">
        <w:trPr>
          <w:tblHeader/>
        </w:trPr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17E95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Certifikat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5FF35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Tijelo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08368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Lokacija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211A6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Vrijedi do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FFE70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Napomena</w:t>
            </w:r>
          </w:p>
        </w:tc>
      </w:tr>
      <w:tr w:rsidR="003F777A" w:rsidRPr="0052766C" w14:paraId="1B9C8129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D0423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9001:2015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89EF2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TÜV Nord / HZERT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A8B8E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Zagreb + Osijek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CB75C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721BAD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Recertifikacija godišnje</w:t>
            </w:r>
          </w:p>
        </w:tc>
      </w:tr>
      <w:tr w:rsidR="003F777A" w:rsidRPr="0052766C" w14:paraId="5FF6FC1C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13B60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IFS Food v8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3BAE05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TÜV Nord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8FD07B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Zagreb + Osijek (TK + TB)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3DD04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6C2C9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Godišnji audit</w:t>
            </w:r>
          </w:p>
        </w:tc>
      </w:tr>
      <w:tr w:rsidR="003F777A" w:rsidRPr="0052766C" w14:paraId="0D4C42F1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32AFE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HACCP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3738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HZERT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C3115A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Zagreb, TK Osijek, TB Osijek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7D7C58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17FCD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Kontinuirano</w:t>
            </w:r>
          </w:p>
        </w:tc>
      </w:tr>
      <w:tr w:rsidR="003F777A" w:rsidRPr="0052766C" w14:paraId="7FC0E8FD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B0C1D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50001:2018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080D1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ACCREDIA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EC3FD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Mlinar d.o.o.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5921CC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726607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Recertifikacija</w:t>
            </w:r>
          </w:p>
        </w:tc>
      </w:tr>
      <w:tr w:rsidR="003F777A" w:rsidRPr="0052766C" w14:paraId="66D26E56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B738E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Halal certifikat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0FE870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54F2B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Mlinar d.o.o.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EF609F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2028.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5A71F3" w14:textId="77777777" w:rsidR="003F777A" w:rsidRPr="0052766C" w:rsidRDefault="003F777A" w:rsidP="0052766C">
            <w:pPr>
              <w:spacing w:after="60"/>
              <w:jc w:val="both"/>
              <w:rPr>
                <w:rFonts w:ascii="Candara" w:hAnsi="Candara"/>
              </w:rPr>
            </w:pPr>
          </w:p>
        </w:tc>
      </w:tr>
      <w:tr w:rsidR="003F777A" w:rsidRPr="0052766C" w14:paraId="267AF049" w14:textId="77777777" w:rsidTr="0052766C"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DFCB22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ISO 27001:2022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80B4C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7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A47043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73B419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1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D1035E" w14:textId="77777777" w:rsidR="003F777A" w:rsidRPr="0052766C" w:rsidRDefault="00000000" w:rsidP="0052766C">
            <w:pPr>
              <w:spacing w:after="60"/>
              <w:jc w:val="both"/>
              <w:rPr>
                <w:rFonts w:ascii="Candara" w:hAnsi="Candara"/>
              </w:rPr>
            </w:pPr>
            <w:r w:rsidRPr="0052766C">
              <w:rPr>
                <w:rFonts w:ascii="Candara" w:hAnsi="Candara"/>
                <w:color w:val="1A1A1A"/>
                <w:sz w:val="20"/>
                <w:szCs w:val="20"/>
              </w:rPr>
              <w:t>U procesu implementacije (ZKS projekt)</w:t>
            </w:r>
          </w:p>
        </w:tc>
      </w:tr>
    </w:tbl>
    <w:p w14:paraId="693A9D0F" w14:textId="77777777" w:rsidR="0052766C" w:rsidRDefault="0052766C" w:rsidP="0052766C">
      <w:pPr>
        <w:spacing w:after="60"/>
        <w:jc w:val="both"/>
        <w:rPr>
          <w:rFonts w:ascii="Candara" w:hAnsi="Candara"/>
        </w:rPr>
      </w:pPr>
    </w:p>
    <w:p w14:paraId="4D6612F7" w14:textId="77777777" w:rsidR="0052766C" w:rsidRDefault="0052766C" w:rsidP="0052766C">
      <w:pPr>
        <w:spacing w:after="60"/>
        <w:jc w:val="both"/>
        <w:rPr>
          <w:rFonts w:ascii="Candara" w:hAnsi="Candara"/>
          <w:b/>
          <w:bCs/>
          <w:color w:val="1A3A5C"/>
        </w:rPr>
      </w:pPr>
    </w:p>
    <w:p w14:paraId="6B3E191A" w14:textId="50EDBF96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3A5C"/>
        </w:rPr>
        <w:t xml:space="preserve">Vlasnik dokumenta (Vanjski CISO): </w:t>
      </w:r>
      <w:r w:rsidRPr="0052766C">
        <w:rPr>
          <w:rFonts w:ascii="Candara" w:hAnsi="Candara"/>
          <w:color w:val="1A1A1A"/>
        </w:rPr>
        <w:t xml:space="preserve">Daniel Bara   Datum: </w:t>
      </w:r>
      <w:r w:rsidR="0052766C">
        <w:rPr>
          <w:rFonts w:ascii="Candara" w:hAnsi="Candara"/>
          <w:color w:val="1A1A1A"/>
        </w:rPr>
        <w:t xml:space="preserve">5.2.2026. </w:t>
      </w:r>
      <w:r w:rsidRPr="0052766C">
        <w:rPr>
          <w:rFonts w:ascii="Candara" w:hAnsi="Candara"/>
          <w:color w:val="1A1A1A"/>
        </w:rPr>
        <w:t xml:space="preserve"> Potpis: _____________________</w:t>
      </w:r>
    </w:p>
    <w:p w14:paraId="3A570795" w14:textId="77777777" w:rsidR="0052766C" w:rsidRDefault="0052766C" w:rsidP="0052766C">
      <w:pPr>
        <w:spacing w:after="60"/>
        <w:jc w:val="both"/>
        <w:rPr>
          <w:rFonts w:ascii="Candara" w:hAnsi="Candara"/>
          <w:b/>
          <w:bCs/>
          <w:color w:val="1A3A5C"/>
        </w:rPr>
      </w:pPr>
    </w:p>
    <w:p w14:paraId="4855E572" w14:textId="08A84476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b/>
          <w:bCs/>
          <w:color w:val="1A3A5C"/>
        </w:rPr>
        <w:t xml:space="preserve">Pravna služba: </w:t>
      </w:r>
      <w:r w:rsidRPr="0052766C">
        <w:rPr>
          <w:rFonts w:ascii="Candara" w:hAnsi="Candara"/>
          <w:color w:val="1A1A1A"/>
        </w:rPr>
        <w:t xml:space="preserve">   Datum: __________   Potpis: _____________________</w:t>
      </w:r>
    </w:p>
    <w:p w14:paraId="71623EDF" w14:textId="77777777" w:rsidR="0052766C" w:rsidRDefault="0052766C" w:rsidP="0052766C">
      <w:pPr>
        <w:spacing w:after="60"/>
        <w:jc w:val="both"/>
        <w:rPr>
          <w:rFonts w:ascii="Candara" w:hAnsi="Candara"/>
          <w:b/>
          <w:bCs/>
          <w:color w:val="1A3A5C"/>
        </w:rPr>
      </w:pPr>
    </w:p>
    <w:p w14:paraId="76D57093" w14:textId="77777777" w:rsidR="003F777A" w:rsidRPr="0052766C" w:rsidRDefault="003F777A" w:rsidP="0052766C">
      <w:pPr>
        <w:spacing w:after="60"/>
        <w:jc w:val="both"/>
        <w:rPr>
          <w:rFonts w:ascii="Candara" w:hAnsi="Candara"/>
        </w:rPr>
      </w:pPr>
    </w:p>
    <w:p w14:paraId="754CBA00" w14:textId="77777777" w:rsidR="003F777A" w:rsidRPr="0052766C" w:rsidRDefault="00000000" w:rsidP="0052766C">
      <w:pPr>
        <w:spacing w:after="60"/>
        <w:jc w:val="both"/>
        <w:rPr>
          <w:rFonts w:ascii="Candara" w:hAnsi="Candara"/>
        </w:rPr>
      </w:pPr>
      <w:r w:rsidRPr="0052766C">
        <w:rPr>
          <w:rFonts w:ascii="Candara" w:hAnsi="Candara"/>
          <w:color w:val="555555"/>
          <w:sz w:val="20"/>
          <w:szCs w:val="20"/>
        </w:rPr>
        <w:t>Ovaj Registar podliježe godišnjem pregledu. Sve izmjene u zakonskom okviru moraju se reflektirati u roku 30 dana od stupanja na snagu propisa.</w:t>
      </w:r>
    </w:p>
    <w:sectPr w:rsidR="003F777A" w:rsidRPr="0052766C" w:rsidSect="0052766C"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6390"/>
    <w:multiLevelType w:val="hybridMultilevel"/>
    <w:tmpl w:val="AB521390"/>
    <w:lvl w:ilvl="0" w:tplc="F572E198">
      <w:start w:val="1"/>
      <w:numFmt w:val="bullet"/>
      <w:lvlText w:val="•"/>
      <w:lvlJc w:val="left"/>
      <w:pPr>
        <w:ind w:left="720" w:hanging="360"/>
      </w:pPr>
    </w:lvl>
    <w:lvl w:ilvl="1" w:tplc="1D70B32A">
      <w:start w:val="1"/>
      <w:numFmt w:val="bullet"/>
      <w:lvlText w:val="–"/>
      <w:lvlJc w:val="left"/>
      <w:pPr>
        <w:ind w:left="1080" w:hanging="360"/>
      </w:pPr>
    </w:lvl>
    <w:lvl w:ilvl="2" w:tplc="099CED5C">
      <w:numFmt w:val="decimal"/>
      <w:lvlText w:val=""/>
      <w:lvlJc w:val="left"/>
    </w:lvl>
    <w:lvl w:ilvl="3" w:tplc="768C7154">
      <w:numFmt w:val="decimal"/>
      <w:lvlText w:val=""/>
      <w:lvlJc w:val="left"/>
    </w:lvl>
    <w:lvl w:ilvl="4" w:tplc="0D20C9D8">
      <w:numFmt w:val="decimal"/>
      <w:lvlText w:val=""/>
      <w:lvlJc w:val="left"/>
    </w:lvl>
    <w:lvl w:ilvl="5" w:tplc="F29A9878">
      <w:numFmt w:val="decimal"/>
      <w:lvlText w:val=""/>
      <w:lvlJc w:val="left"/>
    </w:lvl>
    <w:lvl w:ilvl="6" w:tplc="B92EA698">
      <w:numFmt w:val="decimal"/>
      <w:lvlText w:val=""/>
      <w:lvlJc w:val="left"/>
    </w:lvl>
    <w:lvl w:ilvl="7" w:tplc="A2562714">
      <w:numFmt w:val="decimal"/>
      <w:lvlText w:val=""/>
      <w:lvlJc w:val="left"/>
    </w:lvl>
    <w:lvl w:ilvl="8" w:tplc="9EC09EB8">
      <w:numFmt w:val="decimal"/>
      <w:lvlText w:val=""/>
      <w:lvlJc w:val="left"/>
    </w:lvl>
  </w:abstractNum>
  <w:abstractNum w:abstractNumId="1" w15:restartNumberingAfterBreak="0">
    <w:nsid w:val="3C391E9C"/>
    <w:multiLevelType w:val="hybridMultilevel"/>
    <w:tmpl w:val="E2243ED0"/>
    <w:lvl w:ilvl="0" w:tplc="0AA828EA">
      <w:start w:val="1"/>
      <w:numFmt w:val="bullet"/>
      <w:lvlText w:val="●"/>
      <w:lvlJc w:val="left"/>
      <w:pPr>
        <w:ind w:left="720" w:hanging="360"/>
      </w:pPr>
    </w:lvl>
    <w:lvl w:ilvl="1" w:tplc="21922D04">
      <w:start w:val="1"/>
      <w:numFmt w:val="bullet"/>
      <w:lvlText w:val="○"/>
      <w:lvlJc w:val="left"/>
      <w:pPr>
        <w:ind w:left="1440" w:hanging="360"/>
      </w:pPr>
    </w:lvl>
    <w:lvl w:ilvl="2" w:tplc="6F56ABBE">
      <w:start w:val="1"/>
      <w:numFmt w:val="bullet"/>
      <w:lvlText w:val="■"/>
      <w:lvlJc w:val="left"/>
      <w:pPr>
        <w:ind w:left="2160" w:hanging="360"/>
      </w:pPr>
    </w:lvl>
    <w:lvl w:ilvl="3" w:tplc="27D0A13E">
      <w:start w:val="1"/>
      <w:numFmt w:val="bullet"/>
      <w:lvlText w:val="●"/>
      <w:lvlJc w:val="left"/>
      <w:pPr>
        <w:ind w:left="2880" w:hanging="360"/>
      </w:pPr>
    </w:lvl>
    <w:lvl w:ilvl="4" w:tplc="4852D0FE">
      <w:start w:val="1"/>
      <w:numFmt w:val="bullet"/>
      <w:lvlText w:val="○"/>
      <w:lvlJc w:val="left"/>
      <w:pPr>
        <w:ind w:left="3600" w:hanging="360"/>
      </w:pPr>
    </w:lvl>
    <w:lvl w:ilvl="5" w:tplc="45620C22">
      <w:start w:val="1"/>
      <w:numFmt w:val="bullet"/>
      <w:lvlText w:val="■"/>
      <w:lvlJc w:val="left"/>
      <w:pPr>
        <w:ind w:left="4320" w:hanging="360"/>
      </w:pPr>
    </w:lvl>
    <w:lvl w:ilvl="6" w:tplc="BAD050D8">
      <w:start w:val="1"/>
      <w:numFmt w:val="bullet"/>
      <w:lvlText w:val="●"/>
      <w:lvlJc w:val="left"/>
      <w:pPr>
        <w:ind w:left="5040" w:hanging="360"/>
      </w:pPr>
    </w:lvl>
    <w:lvl w:ilvl="7" w:tplc="E098CBE4">
      <w:start w:val="1"/>
      <w:numFmt w:val="bullet"/>
      <w:lvlText w:val="●"/>
      <w:lvlJc w:val="left"/>
      <w:pPr>
        <w:ind w:left="5760" w:hanging="360"/>
      </w:pPr>
    </w:lvl>
    <w:lvl w:ilvl="8" w:tplc="971A338E">
      <w:start w:val="1"/>
      <w:numFmt w:val="bullet"/>
      <w:lvlText w:val="●"/>
      <w:lvlJc w:val="left"/>
      <w:pPr>
        <w:ind w:left="6480" w:hanging="360"/>
      </w:pPr>
    </w:lvl>
  </w:abstractNum>
  <w:num w:numId="1" w16cid:durableId="2071688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7A"/>
    <w:rsid w:val="00246DA1"/>
    <w:rsid w:val="003F777A"/>
    <w:rsid w:val="0052766C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33724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20"/>
      <w:outlineLvl w:val="2"/>
    </w:pPr>
    <w:rPr>
      <w:b/>
      <w:bCs/>
      <w:color w:val="55555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637</Words>
  <Characters>3635</Characters>
  <Application>Microsoft Office Word</Application>
  <DocSecurity>0</DocSecurity>
  <Lines>30</Lines>
  <Paragraphs>8</Paragraphs>
  <ScaleCrop>false</ScaleCrop>
  <Company>AP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3</cp:revision>
  <dcterms:created xsi:type="dcterms:W3CDTF">2026-03-15T12:14:00Z</dcterms:created>
  <dcterms:modified xsi:type="dcterms:W3CDTF">2026-03-15T18:09:00Z</dcterms:modified>
</cp:coreProperties>
</file>